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Lesson 2: What is a Watershed?</w:t>
        <w:tab/>
        <w:tab/>
        <w:tab/>
        <w:tab/>
        <w:tab/>
        <w:t xml:space="preserve">Name:__________________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/>
      </w:pPr>
      <w:bookmarkStart w:colFirst="0" w:colLast="0" w:name="_gizi558cz7v9" w:id="0"/>
      <w:bookmarkEnd w:id="0"/>
      <w:r w:rsidDel="00000000" w:rsidR="00000000" w:rsidRPr="00000000">
        <w:rPr>
          <w:rtl w:val="0"/>
        </w:rPr>
        <w:t xml:space="preserve">Protect &amp; Preserve Watersheds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In your own words define a watershed.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What challenges do watersheds face?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Become a Watershed Hero!</w:t>
      </w:r>
      <w:r w:rsidDel="00000000" w:rsidR="00000000" w:rsidRPr="00000000">
        <w:rPr>
          <w:rtl w:val="0"/>
        </w:rPr>
        <w:t xml:space="preserve"> Visit each section in the interactive and write down at least one action to help protect your watershed.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7125"/>
        <w:tblGridChange w:id="0">
          <w:tblGrid>
            <w:gridCol w:w="2235"/>
            <w:gridCol w:w="71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Barnyard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Watershed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Neighborhood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Garden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